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26-235</w:t>
      </w:r>
    </w:p>
    <w:p>
      <w:pPr>
        <w:spacing w:before="0" w:after="0" w:line="480"/>
        <w:ind w:left="120"/>
        <w:jc w:val="left"/>
      </w:pPr>
    </w:p>
    <w:p>
      <w:pPr>
        <w:spacing w:before="0" w:after="0" w:line="480"/>
        <w:ind w:left="120"/>
        <w:jc w:val="center"/>
      </w:pPr>
      <w:r>
        <w:rPr>
          <w:rFonts w:ascii="Times New Roman" w:hAnsi="Times New Roman"/>
          <w:b/>
          <w:i w:val="false"/>
          <w:color w:val="000000"/>
          <w:sz w:val="28"/>
        </w:rPr>
        <w:t>EMPLOYMENT APPEAL BOARD[486]</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486—Chapter 17</w:t>
      </w:r>
    </w:p>
    <w:p>
      <w:pPr>
        <w:spacing w:before="0" w:after="0" w:line="480"/>
        <w:ind w:left="120"/>
        <w:jc w:val="center"/>
      </w:pPr>
      <w:r>
        <w:rPr>
          <w:rFonts w:ascii="Times New Roman" w:hAnsi="Times New Roman"/>
          <w:b w:val="false"/>
          <w:i w:val="false"/>
          <w:color w:val="000000"/>
          <w:sz w:val="24"/>
        </w:rPr>
        <w:t>“State Employee Whistleblower Actions”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20.6(5)</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2385, and Iowa Code section 70A.28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24, 2026</w:t>
            </w:r>
            <w:r>
              <w:br/>
            </w:r>
            <w:r>
              <w:rPr>
                <w:rFonts w:ascii="Times New Roman" w:hAnsi="Times New Roman"/>
                <w:b w:val="false"/>
                <w:i w:val="false"/>
                <w:color w:val="000000"/>
                <w:sz w:val="14"/>
              </w:rPr>
              <w:t>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w:t>
            </w:r>
            <w:r>
              <w:br/>
            </w:r>
            <w:hyperlink r:id="rId4">
              <w:r>
                <w:rPr>
                  <w:rStyle w:val="Hyperlink"/>
                  <w:rFonts w:ascii="Times New Roman" w:hAnsi="Times New Roman"/>
                  <w:b w:val="false"/>
                  <w:i w:val="false"/>
                  <w:color w:val="0000ff"/>
                  <w:sz w:val="14"/>
                </w:rPr>
                <w:t>meet.google.com/hxy-euaj-uzq</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Employment Appeal Board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Christine Louis</w:t>
            </w:r>
            <w:r>
              <w:br/>
            </w:r>
            <w:r>
              <w:rPr>
                <w:rFonts w:ascii="Times New Roman" w:hAnsi="Times New Roman"/>
                <w:b w:val="false"/>
                <w:i w:val="false"/>
                <w:color w:val="000000"/>
                <w:sz w:val="14"/>
              </w:rPr>
              <w:t>Employment Appeal Board</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eab.elections@eab.iowa.gov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includes revisions to administrative rules based on the requirements of Executive Order 10 and statutory changes based on 2024 Iowa Acts, Senate File 2385. This proposed rulemaking provides procedural rules for State employee appeals of administrative whistleblower actions.</w:t>
      </w:r>
    </w:p>
    <w:p>
      <w:pPr>
        <w:spacing w:before="0" w:after="0" w:line="480"/>
        <w:ind w:left="120"/>
        <w:jc w:val="both"/>
      </w:pPr>
      <w:r>
        <w:rPr>
          <w:rFonts w:ascii="Times New Roman" w:hAnsi="Times New Roman"/>
          <w:b w:val="false"/>
          <w:i w:val="false"/>
          <w:color w:val="000000"/>
          <w:sz w:val="24"/>
        </w:rPr>
        <w:t>    This chapter is being moved from the legacy Public Employee Relations Board agency number [621] to a new chapter within the Employment Appeal Board agency number [486]. These rules were previously located in 621—Chapter 17.</w:t>
      </w:r>
    </w:p>
    <w:p>
      <w:pPr>
        <w:spacing w:before="0" w:after="0" w:line="480"/>
        <w:ind w:left="120"/>
        <w:jc w:val="both"/>
      </w:pPr>
      <w:r>
        <w:rPr>
          <w:rFonts w:ascii="Times New Roman" w:hAnsi="Times New Roman"/>
          <w:b w:val="false"/>
          <w:i w:val="false"/>
          <w:color w:val="000000"/>
          <w:sz w:val="24"/>
        </w:rPr>
        <w:t>    The rules under legacy agency number [621] are proposed to be rescinded and reserved herein (</w:t>
      </w:r>
      <w:r>
        <w:rPr>
          <w:rFonts w:ascii="Times New Roman" w:hAnsi="Times New Roman"/>
          <w:b/>
          <w:i w:val="false"/>
          <w:color w:val="000000"/>
          <w:sz w:val="24"/>
        </w:rPr>
        <w:t>RA 26-246</w:t>
      </w:r>
      <w:r>
        <w:rPr>
          <w:rFonts w:ascii="Times New Roman" w:hAnsi="Times New Roman"/>
          <w:b w:val="false"/>
          <w:i w:val="false"/>
          <w:color w:val="000000"/>
          <w:sz w:val="24"/>
        </w:rPr>
        <w:t>, IAB 8/19/26).</w:t>
      </w:r>
    </w:p>
    <w:p>
      <w:pPr>
        <w:spacing w:before="0" w:after="0" w:line="480"/>
        <w:ind w:left="120"/>
        <w:jc w:val="both"/>
      </w:pPr>
      <w:r>
        <w:rPr>
          <w:rFonts w:ascii="Times New Roman" w:hAnsi="Times New Roman"/>
          <w:b w:val="false"/>
          <w:i w:val="false"/>
          <w:color w:val="000000"/>
          <w:sz w:val="24"/>
        </w:rPr>
        <w:t xml:space="preserve">    The reference to 486—Chapter 18 is to that as published herein as </w:t>
      </w:r>
      <w:r>
        <w:rPr>
          <w:rFonts w:ascii="Times New Roman" w:hAnsi="Times New Roman"/>
          <w:b/>
          <w:i w:val="false"/>
          <w:color w:val="000000"/>
          <w:sz w:val="24"/>
        </w:rPr>
        <w:t>RA 26-236</w:t>
      </w:r>
      <w:r>
        <w:rPr>
          <w:rFonts w:ascii="Times New Roman" w:hAnsi="Times New Roman"/>
          <w:b w:val="false"/>
          <w:i w:val="false"/>
          <w:color w:val="000000"/>
          <w:sz w:val="24"/>
        </w:rPr>
        <w:t>, IAB 8/19/26.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additional expected cost to the State or individuals.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State of Iowa agencies and State of Iowa employees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changes are mandated by statute and executive order.</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expected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486—Chapter 17</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17</w:t>
      </w:r>
    </w:p>
    <w:p>
      <w:pPr>
        <w:spacing w:before="0" w:after="0" w:line="480"/>
        <w:ind w:left="120"/>
        <w:jc w:val="center"/>
      </w:pPr>
      <w:r>
        <w:rPr>
          <w:rFonts w:ascii="Times New Roman" w:hAnsi="Times New Roman"/>
          <w:b w:val="false"/>
          <w:i w:val="false"/>
          <w:color w:val="000000"/>
          <w:sz w:val="21"/>
        </w:rPr>
        <w:t>STATE EMPLOYEE WHISTLEBLOWER ACTIONS</w:t>
      </w:r>
    </w:p>
    <w:p>
      <w:pPr>
        <w:spacing w:before="210" w:after="0" w:line="480"/>
        <w:ind w:left="120"/>
        <w:jc w:val="both"/>
      </w:pPr>
      <w:r>
        <w:rPr>
          <w:rFonts w:ascii="Times New Roman" w:hAnsi="Times New Roman"/>
          <w:b/>
          <w:i w:val="false"/>
          <w:color w:val="000000"/>
          <w:sz w:val="24"/>
        </w:rPr>
        <w:t>486—17.1</w:t>
      </w:r>
      <w:r>
        <w:rPr>
          <w:rFonts w:ascii="Times New Roman" w:hAnsi="Times New Roman"/>
          <w:b/>
          <w:i w:val="false"/>
          <w:color w:val="000000"/>
          <w:sz w:val="24"/>
        </w:rPr>
        <w:t xml:space="preserve">(20,70A) </w:t>
      </w:r>
      <w:r>
        <w:rPr>
          <w:rFonts w:ascii="Times New Roman" w:hAnsi="Times New Roman"/>
          <w:b/>
          <w:i w:val="false"/>
          <w:color w:val="000000"/>
          <w:sz w:val="24"/>
        </w:rPr>
        <w:t xml:space="preserve">Notice of appeal rights. </w:t>
      </w:r>
      <w:r>
        <w:rPr>
          <w:rFonts w:ascii="Times New Roman" w:hAnsi="Times New Roman"/>
          <w:b w:val="false"/>
          <w:i w:val="false"/>
          <w:color w:val="000000"/>
          <w:sz w:val="24"/>
        </w:rPr>
        <w:t xml:space="preserve">A state executive branch employee, except a merit system employee or an employee covered by a collective bargaining agreement, may file an appeal with the appeal board as stated in Iowa Code section </w:t>
      </w:r>
      <w:hyperlink r:id="rId6">
        <w:r>
          <w:rPr>
            <w:rStyle w:val="Hyperlink"/>
            <w:rFonts w:ascii="Times New Roman" w:hAnsi="Times New Roman"/>
            <w:b w:val="false"/>
            <w:i w:val="false"/>
            <w:color w:val="000000"/>
            <w:sz w:val="24"/>
          </w:rPr>
          <w:t>70A.28(6)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486—17.2</w:t>
      </w:r>
      <w:r>
        <w:rPr>
          <w:rFonts w:ascii="Times New Roman" w:hAnsi="Times New Roman"/>
          <w:b/>
          <w:i w:val="false"/>
          <w:color w:val="000000"/>
          <w:sz w:val="24"/>
        </w:rPr>
        <w:t xml:space="preserve">(20,70A) </w:t>
      </w:r>
      <w:r>
        <w:rPr>
          <w:rFonts w:ascii="Times New Roman" w:hAnsi="Times New Roman"/>
          <w:b/>
          <w:i w:val="false"/>
          <w:color w:val="000000"/>
          <w:sz w:val="24"/>
        </w:rPr>
        <w:t xml:space="preserve">Filing of appeal.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17.2(1)</w:t>
      </w:r>
      <w:r>
        <w:rPr>
          <w:rFonts w:ascii="Times New Roman" w:hAnsi="Times New Roman"/>
          <w:b w:val="false"/>
          <w:i w:val="false"/>
          <w:color w:val="000000"/>
          <w:sz w:val="24"/>
        </w:rPr>
        <w:t> </w:t>
      </w:r>
      <w:r>
        <w:rPr>
          <w:rFonts w:ascii="Times New Roman" w:hAnsi="Times New Roman"/>
          <w:b w:val="false"/>
          <w:i/>
          <w:color w:val="000000"/>
          <w:sz w:val="24"/>
        </w:rPr>
        <w:t xml:space="preserve">Timeline. </w:t>
      </w:r>
      <w:r>
        <w:rPr>
          <w:rFonts w:ascii="Times New Roman" w:hAnsi="Times New Roman"/>
          <w:b w:val="false"/>
          <w:i w:val="false"/>
          <w:color w:val="000000"/>
          <w:sz w:val="24"/>
        </w:rPr>
        <w:t xml:space="preserve">The employee must file the appeal within the timeline provided in Iowa Code section </w:t>
      </w:r>
      <w:hyperlink r:id="rId7">
        <w:r>
          <w:rPr>
            <w:rStyle w:val="Hyperlink"/>
            <w:rFonts w:ascii="Times New Roman" w:hAnsi="Times New Roman"/>
            <w:b w:val="false"/>
            <w:i w:val="false"/>
            <w:color w:val="000000"/>
            <w:sz w:val="24"/>
          </w:rPr>
          <w:t>70A.28(6)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w:t>
      </w:r>
      <w:r>
        <w:rPr>
          <w:rFonts w:ascii="Times New Roman" w:hAnsi="Times New Roman"/>
          <w:b w:val="false"/>
          <w:i w:val="false"/>
          <w:color w:val="000000"/>
          <w:sz w:val="24"/>
        </w:rPr>
        <w:t> </w:t>
      </w:r>
      <w:r>
        <w:rPr>
          <w:rFonts w:ascii="Times New Roman" w:hAnsi="Times New Roman"/>
          <w:b w:val="false"/>
          <w:i/>
          <w:color w:val="000000"/>
          <w:sz w:val="24"/>
        </w:rPr>
        <w:t xml:space="preserve">Method of filing. </w:t>
      </w:r>
      <w:r>
        <w:rPr>
          <w:rFonts w:ascii="Times New Roman" w:hAnsi="Times New Roman"/>
          <w:b w:val="false"/>
          <w:i w:val="false"/>
          <w:color w:val="000000"/>
          <w:sz w:val="24"/>
        </w:rPr>
        <w:t xml:space="preserve">Appeals and all subsequent pleadings must be electronically filed pursuant to </w:t>
      </w:r>
      <w:hyperlink r:id="rId8">
        <w:r>
          <w:rPr>
            <w:rStyle w:val="Hyperlink"/>
            <w:rFonts w:ascii="Times New Roman" w:hAnsi="Times New Roman"/>
            <w:b w:val="false"/>
            <w:i w:val="false"/>
            <w:color w:val="000000"/>
            <w:sz w:val="24"/>
          </w:rPr>
          <w:t>486—Chapter 18</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486—17.3</w:t>
      </w:r>
      <w:r>
        <w:rPr>
          <w:rFonts w:ascii="Times New Roman" w:hAnsi="Times New Roman"/>
          <w:b/>
          <w:i w:val="false"/>
          <w:color w:val="000000"/>
          <w:sz w:val="24"/>
        </w:rPr>
        <w:t xml:space="preserve">(20,70A) </w:t>
      </w:r>
      <w:r>
        <w:rPr>
          <w:rFonts w:ascii="Times New Roman" w:hAnsi="Times New Roman"/>
          <w:b/>
          <w:i w:val="false"/>
          <w:color w:val="000000"/>
          <w:sz w:val="24"/>
        </w:rPr>
        <w:t xml:space="preserve">Service of appeal. </w:t>
      </w:r>
      <w:r>
        <w:rPr>
          <w:rFonts w:ascii="Times New Roman" w:hAnsi="Times New Roman"/>
          <w:b w:val="false"/>
          <w:i w:val="false"/>
          <w:color w:val="000000"/>
          <w:sz w:val="24"/>
        </w:rPr>
        <w:t>Upon the filing of a proper petition, the appeal board will serve copies of the petition upon the department of administrative services director (hereafter referred to as the director) by electronic means when possible and, where service by electronic means is not possible, by personal service as provided in the Iowa Rules of Civil Procedure; by certified mail, return receipt requested; by first-class mail; or by publication as provided in the Iowa Rules of Civil Procedure.</w:t>
      </w:r>
    </w:p>
    <w:p>
      <w:pPr>
        <w:spacing w:before="0" w:after="0" w:line="480"/>
        <w:ind w:left="120"/>
        <w:jc w:val="both"/>
      </w:pPr>
      <w:r>
        <w:rPr>
          <w:rFonts w:ascii="Times New Roman" w:hAnsi="Times New Roman"/>
          <w:b/>
          <w:i w:val="false"/>
          <w:color w:val="000000"/>
          <w:sz w:val="24"/>
        </w:rPr>
        <w:t>486—17.4</w:t>
      </w:r>
      <w:r>
        <w:rPr>
          <w:rFonts w:ascii="Times New Roman" w:hAnsi="Times New Roman"/>
          <w:b/>
          <w:i w:val="false"/>
          <w:color w:val="000000"/>
          <w:sz w:val="24"/>
        </w:rPr>
        <w:t xml:space="preserve">(20,70A) </w:t>
      </w:r>
      <w:r>
        <w:rPr>
          <w:rFonts w:ascii="Times New Roman" w:hAnsi="Times New Roman"/>
          <w:b/>
          <w:i w:val="false"/>
          <w:color w:val="000000"/>
          <w:sz w:val="24"/>
        </w:rPr>
        <w:t xml:space="preserve">Content of appeal.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17.4(1)</w:t>
      </w:r>
      <w:r>
        <w:rPr>
          <w:rFonts w:ascii="Times New Roman" w:hAnsi="Times New Roman"/>
          <w:b w:val="false"/>
          <w:i w:val="false"/>
          <w:color w:val="000000"/>
          <w:sz w:val="24"/>
        </w:rPr>
        <w:t> </w:t>
      </w:r>
      <w:r>
        <w:rPr>
          <w:rFonts w:ascii="Times New Roman" w:hAnsi="Times New Roman"/>
          <w:b w:val="false"/>
          <w:i w:val="false"/>
          <w:color w:val="000000"/>
          <w:sz w:val="24"/>
        </w:rPr>
        <w:t>The appeal must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Name, address, telephone number, and email address of the appealing employee;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Name of agency/department by which the appealing employee is/was employed;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brief statement of the reasons for the employee’s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statement of the requested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name, address, telephone number, and email address of the appealing employee’s representative,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signature of the appealing employee or employee’s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statement of whether the employee requests a hearing open to the public;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statement of whether the employee filed a complaint with the office of ombudsman and the date of the filing,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17.4(2)</w:t>
      </w:r>
      <w:r>
        <w:rPr>
          <w:rFonts w:ascii="Times New Roman" w:hAnsi="Times New Roman"/>
          <w:b w:val="false"/>
          <w:i w:val="false"/>
          <w:color w:val="000000"/>
          <w:sz w:val="24"/>
        </w:rPr>
        <w:t> </w:t>
      </w:r>
      <w:r>
        <w:rPr>
          <w:rFonts w:ascii="Times New Roman" w:hAnsi="Times New Roman"/>
          <w:b w:val="false"/>
          <w:i w:val="false"/>
          <w:color w:val="000000"/>
          <w:sz w:val="24"/>
        </w:rPr>
        <w:t xml:space="preserve">Completion of the State Employee Whistleblower Action Appeal Form available on the appeal board’s website constitutes compliance with all of the requirements in subrule </w:t>
      </w:r>
      <w:hyperlink r:id="rId9">
        <w:r>
          <w:rPr>
            <w:rStyle w:val="Hyperlink"/>
            <w:rFonts w:ascii="Times New Roman" w:hAnsi="Times New Roman"/>
            <w:b w:val="false"/>
            <w:i w:val="false"/>
            <w:color w:val="000000"/>
            <w:sz w:val="24"/>
          </w:rPr>
          <w:t>17.4(1)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486—17.5</w:t>
      </w:r>
      <w:r>
        <w:rPr>
          <w:rFonts w:ascii="Times New Roman" w:hAnsi="Times New Roman"/>
          <w:b/>
          <w:i w:val="false"/>
          <w:color w:val="000000"/>
          <w:sz w:val="24"/>
        </w:rPr>
        <w:t xml:space="preserve">(20,70A) </w:t>
      </w:r>
      <w:r>
        <w:rPr>
          <w:rFonts w:ascii="Times New Roman" w:hAnsi="Times New Roman"/>
          <w:b/>
          <w:i w:val="false"/>
          <w:color w:val="000000"/>
          <w:sz w:val="24"/>
        </w:rPr>
        <w:t xml:space="preserve">Content of director’s response to the appeal. </w:t>
      </w:r>
      <w:r>
        <w:rPr>
          <w:rFonts w:ascii="Times New Roman" w:hAnsi="Times New Roman"/>
          <w:b w:val="false"/>
          <w:i w:val="false"/>
          <w:color w:val="000000"/>
          <w:sz w:val="24"/>
        </w:rPr>
        <w:t xml:space="preserve">The director shall file an answer as directed in </w:t>
      </w:r>
      <w:hyperlink r:id="rId10">
        <w:r>
          <w:rPr>
            <w:rStyle w:val="Hyperlink"/>
            <w:rFonts w:ascii="Times New Roman" w:hAnsi="Times New Roman"/>
            <w:b w:val="false"/>
            <w:i w:val="false"/>
            <w:color w:val="000000"/>
            <w:sz w:val="24"/>
          </w:rPr>
          <w:t>7—subrule 2506.11(3)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486—17.6</w:t>
      </w:r>
      <w:r>
        <w:rPr>
          <w:rFonts w:ascii="Times New Roman" w:hAnsi="Times New Roman"/>
          <w:b/>
          <w:i w:val="false"/>
          <w:color w:val="000000"/>
          <w:sz w:val="24"/>
        </w:rPr>
        <w:t xml:space="preserve">(20,70A) </w:t>
      </w:r>
      <w:r>
        <w:rPr>
          <w:rFonts w:ascii="Times New Roman" w:hAnsi="Times New Roman"/>
          <w:b/>
          <w:i w:val="false"/>
          <w:color w:val="000000"/>
          <w:sz w:val="24"/>
        </w:rPr>
        <w:t xml:space="preserve">Hearing.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17.6(1)</w:t>
      </w:r>
      <w:r>
        <w:rPr>
          <w:rFonts w:ascii="Times New Roman" w:hAnsi="Times New Roman"/>
          <w:b w:val="false"/>
          <w:i w:val="false"/>
          <w:color w:val="000000"/>
          <w:sz w:val="24"/>
        </w:rPr>
        <w:t> </w:t>
      </w:r>
      <w:r>
        <w:rPr>
          <w:rFonts w:ascii="Times New Roman" w:hAnsi="Times New Roman"/>
          <w:b w:val="false"/>
          <w:i w:val="false"/>
          <w:color w:val="000000"/>
          <w:sz w:val="24"/>
        </w:rPr>
        <w:t xml:space="preserve">After the director files an answer to the appeal, the appeal board may transmit the matter to the administrative hearings division created by Iowa Code section </w:t>
      </w:r>
      <w:hyperlink r:id="rId11">
        <w:r>
          <w:rPr>
            <w:rStyle w:val="Hyperlink"/>
            <w:rFonts w:ascii="Times New Roman" w:hAnsi="Times New Roman"/>
            <w:b w:val="false"/>
            <w:i w:val="false"/>
            <w:color w:val="000000"/>
            <w:sz w:val="24"/>
          </w:rPr>
          <w:t>10A.801</w:t>
        </w:r>
      </w:hyperlink>
      <w:r>
        <w:rPr>
          <w:rFonts w:ascii="Times New Roman" w:hAnsi="Times New Roman"/>
          <w:b w:val="false"/>
          <w:i w:val="false"/>
          <w:color w:val="000000"/>
          <w:sz w:val="24"/>
        </w:rPr>
        <w:t>. The board will file a transmittal form with a copy of the appeal and answer attached. After the matter is transmitted, future filings must be made in the administrative hearings division’s administrative electronic document management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17.6(2)</w:t>
      </w:r>
      <w:r>
        <w:rPr>
          <w:rFonts w:ascii="Times New Roman" w:hAnsi="Times New Roman"/>
          <w:b w:val="false"/>
          <w:i w:val="false"/>
          <w:color w:val="000000"/>
          <w:sz w:val="24"/>
        </w:rPr>
        <w:t> </w:t>
      </w:r>
      <w:r>
        <w:rPr>
          <w:rFonts w:ascii="Times New Roman" w:hAnsi="Times New Roman"/>
          <w:b w:val="false"/>
          <w:i w:val="false"/>
          <w:color w:val="000000"/>
          <w:sz w:val="24"/>
        </w:rPr>
        <w:t>After the case is transmitted to the administrative hearings division, it will be assigned a case number. The administrative hearings division will assign the proceeding to an administrative law judge to serve as a presiding officer. The administrative law judge will issue a notice for a prehearing conference or a notice of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17.6(3)</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contested case proceeding will be conducted pursuant to </w:t>
      </w:r>
      <w:hyperlink r:id="rId12">
        <w:r>
          <w:rPr>
            <w:rStyle w:val="Hyperlink"/>
            <w:rFonts w:ascii="Times New Roman" w:hAnsi="Times New Roman"/>
            <w:b w:val="false"/>
            <w:i w:val="false"/>
            <w:color w:val="000000"/>
            <w:sz w:val="24"/>
          </w:rPr>
          <w:t>481—Chapter 10</w:t>
        </w:r>
      </w:hyperlink>
      <w:r>
        <w:rPr>
          <w:rFonts w:ascii="Times New Roman" w:hAnsi="Times New Roman"/>
          <w:b w:val="false"/>
          <w:i w:val="false"/>
          <w:color w:val="000000"/>
          <w:sz w:val="24"/>
        </w:rPr>
        <w:t xml:space="preserve"> and any other administrative rule applicable to the specific type of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17.6(4)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proposed decision of the presiding officer may be reviewed by the appeal board in accordance with rules </w:t>
      </w:r>
      <w:hyperlink r:id="rId13">
        <w:r>
          <w:rPr>
            <w:rStyle w:val="Hyperlink"/>
            <w:rFonts w:ascii="Times New Roman" w:hAnsi="Times New Roman"/>
            <w:b w:val="false"/>
            <w:i w:val="false"/>
            <w:color w:val="000000"/>
            <w:sz w:val="24"/>
          </w:rPr>
          <w:t>7—2506.27</w:t>
        </w:r>
      </w:hyperlink>
      <w:r>
        <w:rPr>
          <w:rFonts w:ascii="Times New Roman" w:hAnsi="Times New Roman"/>
          <w:b w:val="false"/>
          <w:i w:val="false"/>
          <w:color w:val="000000"/>
          <w:sz w:val="24"/>
        </w:rPr>
        <w:t xml:space="preserve">(17A) and </w:t>
      </w:r>
      <w:hyperlink r:id="rId14">
        <w:r>
          <w:rPr>
            <w:rStyle w:val="Hyperlink"/>
            <w:rFonts w:ascii="Times New Roman" w:hAnsi="Times New Roman"/>
            <w:b w:val="false"/>
            <w:i w:val="false"/>
            <w:color w:val="000000"/>
            <w:sz w:val="24"/>
          </w:rPr>
          <w:t>7—2506.28</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15">
        <w:r>
          <w:rPr>
            <w:rStyle w:val="Hyperlink"/>
            <w:rFonts w:ascii="Times New Roman" w:hAnsi="Times New Roman"/>
            <w:b w:val="false"/>
            <w:i w:val="false"/>
            <w:color w:val="000000"/>
            <w:sz w:val="24"/>
          </w:rPr>
          <w:t>20</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70A</w:t>
        </w:r>
      </w:hyperlink>
      <w:r>
        <w:rPr>
          <w:rFonts w:ascii="Times New Roman" w:hAnsi="Times New Roman"/>
          <w:b w:val="false"/>
          <w:i w:val="false"/>
          <w:color w:val="000000"/>
          <w:sz w:val="24"/>
        </w:rPr>
        <w:t>.</w:t>
      </w:r>
    </w:p>
    <w:sectPr>
      <w:footerReference r:id="rId1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hxy-euaj-uzq" Type="http://schemas.openxmlformats.org/officeDocument/2006/relationships/hyperlink" Id="rId4"/>
    <Relationship TargetMode="External" Target="mailto:eab.elections@eab.iowa.gov" Type="http://schemas.openxmlformats.org/officeDocument/2006/relationships/hyperlink" Id="rId5"/>
    <Relationship TargetMode="External" Target="https://www.legis.iowa.gov/docs/ico/chapter/70A.28.pdf" Type="http://schemas.openxmlformats.org/officeDocument/2006/relationships/hyperlink" Id="rId6"/>
    <Relationship TargetMode="External" Target="https://www.legis.iowa.gov/docs/ico/chapter/70A.28.pdf" Type="http://schemas.openxmlformats.org/officeDocument/2006/relationships/hyperlink" Id="rId7"/>
    <Relationship TargetMode="External" Target="https://www.legis.iowa.gov/docs/iac/chapter/486.18.pdf" Type="http://schemas.openxmlformats.org/officeDocument/2006/relationships/hyperlink" Id="rId8"/>
    <Relationship TargetMode="External" Target="https://www.legis.iowa.gov/docs/iac/rule/486.17.4.pdf" Type="http://schemas.openxmlformats.org/officeDocument/2006/relationships/hyperlink" Id="rId9"/>
    <Relationship TargetMode="External" Target="https://www.legis.iowa.gov/docs/iac/rule/7.2506.11.pdf" Type="http://schemas.openxmlformats.org/officeDocument/2006/relationships/hyperlink" Id="rId10"/>
    <Relationship TargetMode="External" Target="https://www.legis.iowa.gov/docs/ico/chapter/10A.801.pdf" Type="http://schemas.openxmlformats.org/officeDocument/2006/relationships/hyperlink" Id="rId11"/>
    <Relationship TargetMode="External" Target="https://www.legis.iowa.gov/docs/iac/chapter/481.10.pdf" Type="http://schemas.openxmlformats.org/officeDocument/2006/relationships/hyperlink" Id="rId12"/>
    <Relationship TargetMode="External" Target="https://www.legis.iowa.gov/docs/iac/rule/7.2506.27.pdf" Type="http://schemas.openxmlformats.org/officeDocument/2006/relationships/hyperlink" Id="rId13"/>
    <Relationship TargetMode="External" Target="https://www.legis.iowa.gov/docs/iac/rule/7.2506.28.pdf" Type="http://schemas.openxmlformats.org/officeDocument/2006/relationships/hyperlink" Id="rId14"/>
    <Relationship TargetMode="External" Target="https://www.legis.iowa.gov/docs/ico/chapter/20.pdf" Type="http://schemas.openxmlformats.org/officeDocument/2006/relationships/hyperlink" Id="rId15"/>
    <Relationship TargetMode="External" Target="https://www.legis.iowa.gov/docs/ico/chapter/70A.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